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E7" w:rsidRPr="008C28E7" w:rsidRDefault="008C28E7" w:rsidP="008C28E7">
      <w:pPr>
        <w:spacing w:after="0" w:line="240" w:lineRule="auto"/>
        <w:jc w:val="cente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Name of the discipline:</w:t>
      </w:r>
    </w:p>
    <w:p w:rsidR="008C28E7" w:rsidRDefault="008C28E7" w:rsidP="008C28E7">
      <w:pPr>
        <w:spacing w:after="0" w:line="240" w:lineRule="auto"/>
        <w:jc w:val="center"/>
        <w:rPr>
          <w:rFonts w:ascii="Times New Roman" w:eastAsia="Calibri" w:hAnsi="Times New Roman" w:cs="Times New Roman"/>
          <w:b/>
          <w:sz w:val="28"/>
          <w:szCs w:val="28"/>
        </w:rPr>
      </w:pPr>
      <w:r w:rsidRPr="008C28E7">
        <w:rPr>
          <w:rFonts w:ascii="Times New Roman" w:eastAsia="Calibri" w:hAnsi="Times New Roman" w:cs="Times New Roman"/>
          <w:b/>
          <w:sz w:val="28"/>
          <w:szCs w:val="28"/>
          <w:lang w:val="en-US"/>
        </w:rPr>
        <w:t>"Corpus Linguistics"</w:t>
      </w:r>
    </w:p>
    <w:p w:rsidR="001861A7" w:rsidRPr="001861A7" w:rsidRDefault="001861A7" w:rsidP="008C28E7">
      <w:pPr>
        <w:spacing w:after="0" w:line="240" w:lineRule="auto"/>
        <w:jc w:val="center"/>
        <w:rPr>
          <w:rFonts w:ascii="Times New Roman" w:eastAsia="Calibri" w:hAnsi="Times New Roman" w:cs="Times New Roman"/>
          <w:b/>
          <w:sz w:val="28"/>
          <w:szCs w:val="28"/>
        </w:rPr>
      </w:pPr>
      <w:bookmarkStart w:id="0" w:name="_GoBack"/>
      <w:bookmarkEnd w:id="0"/>
    </w:p>
    <w:tbl>
      <w:tblPr>
        <w:tblStyle w:val="a3"/>
        <w:tblW w:w="8959" w:type="dxa"/>
        <w:tblInd w:w="534" w:type="dxa"/>
        <w:tblLook w:val="04A0" w:firstRow="1" w:lastRow="0" w:firstColumn="1" w:lastColumn="0" w:noHBand="0" w:noVBand="1"/>
      </w:tblPr>
      <w:tblGrid>
        <w:gridCol w:w="3685"/>
        <w:gridCol w:w="5274"/>
      </w:tblGrid>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rPr>
            </w:pPr>
            <w:proofErr w:type="spellStart"/>
            <w:r w:rsidRPr="008C28E7">
              <w:rPr>
                <w:rFonts w:ascii="Times New Roman" w:eastAsia="Calibri" w:hAnsi="Times New Roman" w:cs="Times New Roman"/>
                <w:b/>
                <w:sz w:val="28"/>
                <w:szCs w:val="28"/>
              </w:rPr>
              <w:t>Specialty</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code</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and</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name</w:t>
            </w:r>
            <w:proofErr w:type="spellEnd"/>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 xml:space="preserve">7-06-0231-03 </w:t>
            </w:r>
            <w:r w:rsidRPr="008C28E7">
              <w:rPr>
                <w:rFonts w:ascii="Times New Roman" w:eastAsia="Calibri" w:hAnsi="Times New Roman" w:cs="Times New Roman"/>
                <w:sz w:val="28"/>
                <w:szCs w:val="28"/>
                <w:lang w:val="en-US"/>
              </w:rPr>
              <w:t>"Theoretical and Applied Linguistics"</w:t>
            </w:r>
          </w:p>
        </w:tc>
      </w:tr>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rPr>
            </w:pPr>
            <w:r w:rsidRPr="008C28E7">
              <w:rPr>
                <w:rFonts w:ascii="Times New Roman" w:eastAsia="Calibri" w:hAnsi="Times New Roman" w:cs="Times New Roman"/>
                <w:b/>
                <w:sz w:val="28"/>
                <w:szCs w:val="28"/>
                <w:lang w:val="en-US"/>
              </w:rPr>
              <w:t>Year</w:t>
            </w:r>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of</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study</w:t>
            </w:r>
            <w:proofErr w:type="spellEnd"/>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1</w:t>
            </w:r>
          </w:p>
        </w:tc>
      </w:tr>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rPr>
            </w:pPr>
            <w:proofErr w:type="spellStart"/>
            <w:r w:rsidRPr="008C28E7">
              <w:rPr>
                <w:rFonts w:ascii="Times New Roman" w:eastAsia="Calibri" w:hAnsi="Times New Roman" w:cs="Times New Roman"/>
                <w:b/>
                <w:sz w:val="28"/>
                <w:szCs w:val="28"/>
              </w:rPr>
              <w:t>Semester</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of</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study</w:t>
            </w:r>
            <w:proofErr w:type="spellEnd"/>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1</w:t>
            </w:r>
          </w:p>
        </w:tc>
      </w:tr>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Number of in-class academic hours</w:t>
            </w:r>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34</w:t>
            </w:r>
          </w:p>
        </w:tc>
      </w:tr>
      <w:tr w:rsidR="008C28E7" w:rsidRPr="008C28E7" w:rsidTr="009A5BEB">
        <w:tc>
          <w:tcPr>
            <w:tcW w:w="3685" w:type="dxa"/>
            <w:vMerge w:val="restart"/>
          </w:tcPr>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Lectures</w:t>
            </w:r>
          </w:p>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Seminars</w:t>
            </w:r>
          </w:p>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Practical classes</w:t>
            </w:r>
          </w:p>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Laboratory classes</w:t>
            </w:r>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24</w:t>
            </w:r>
          </w:p>
        </w:tc>
      </w:tr>
      <w:tr w:rsidR="008C28E7" w:rsidRPr="008C28E7" w:rsidTr="009A5BEB">
        <w:tc>
          <w:tcPr>
            <w:tcW w:w="3685" w:type="dxa"/>
            <w:vMerge/>
          </w:tcPr>
          <w:p w:rsidR="008C28E7" w:rsidRPr="008C28E7" w:rsidRDefault="008C28E7" w:rsidP="009A5BEB">
            <w:pPr>
              <w:rPr>
                <w:rFonts w:ascii="Times New Roman" w:eastAsia="Calibri" w:hAnsi="Times New Roman" w:cs="Times New Roman"/>
                <w:b/>
                <w:sz w:val="28"/>
                <w:szCs w:val="28"/>
              </w:rPr>
            </w:pPr>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10</w:t>
            </w:r>
          </w:p>
        </w:tc>
      </w:tr>
      <w:tr w:rsidR="008C28E7" w:rsidRPr="008C28E7" w:rsidTr="009A5BEB">
        <w:tc>
          <w:tcPr>
            <w:tcW w:w="3685" w:type="dxa"/>
            <w:vMerge/>
          </w:tcPr>
          <w:p w:rsidR="008C28E7" w:rsidRPr="008C28E7" w:rsidRDefault="008C28E7" w:rsidP="009A5BEB">
            <w:pPr>
              <w:rPr>
                <w:rFonts w:ascii="Times New Roman" w:eastAsia="Calibri" w:hAnsi="Times New Roman" w:cs="Times New Roman"/>
                <w:b/>
                <w:sz w:val="28"/>
                <w:szCs w:val="28"/>
              </w:rPr>
            </w:pPr>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w:t>
            </w:r>
          </w:p>
        </w:tc>
      </w:tr>
      <w:tr w:rsidR="008C28E7" w:rsidRPr="008C28E7" w:rsidTr="009A5BEB">
        <w:tc>
          <w:tcPr>
            <w:tcW w:w="3685" w:type="dxa"/>
            <w:vMerge/>
          </w:tcPr>
          <w:p w:rsidR="008C28E7" w:rsidRPr="008C28E7" w:rsidRDefault="008C28E7" w:rsidP="009A5BEB">
            <w:pPr>
              <w:rPr>
                <w:rFonts w:ascii="Times New Roman" w:eastAsia="Calibri" w:hAnsi="Times New Roman" w:cs="Times New Roman"/>
                <w:b/>
                <w:sz w:val="28"/>
                <w:szCs w:val="28"/>
              </w:rPr>
            </w:pPr>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w:t>
            </w:r>
          </w:p>
        </w:tc>
      </w:tr>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 xml:space="preserve">The form of the </w:t>
            </w:r>
            <w:r w:rsidR="009A5BEB">
              <w:rPr>
                <w:rFonts w:ascii="Times New Roman" w:hAnsi="Times New Roman" w:cs="Times New Roman"/>
                <w:b/>
                <w:sz w:val="28"/>
                <w:szCs w:val="28"/>
                <w:lang w:val="en-US"/>
              </w:rPr>
              <w:t xml:space="preserve">intermediate </w:t>
            </w:r>
            <w:r w:rsidRPr="008C28E7">
              <w:rPr>
                <w:rFonts w:ascii="Times New Roman" w:eastAsia="Calibri" w:hAnsi="Times New Roman" w:cs="Times New Roman"/>
                <w:b/>
                <w:sz w:val="28"/>
                <w:szCs w:val="28"/>
                <w:lang w:val="en-US"/>
              </w:rPr>
              <w:t xml:space="preserve">assessment </w:t>
            </w:r>
            <w:r w:rsidRPr="00844251">
              <w:rPr>
                <w:rFonts w:ascii="Times New Roman" w:eastAsia="Calibri" w:hAnsi="Times New Roman" w:cs="Times New Roman"/>
                <w:b/>
                <w:i/>
                <w:sz w:val="28"/>
                <w:szCs w:val="28"/>
                <w:lang w:val="en-US"/>
              </w:rPr>
              <w:t>(credit / differentiated credit / exam)</w:t>
            </w:r>
          </w:p>
        </w:tc>
        <w:tc>
          <w:tcPr>
            <w:tcW w:w="5274" w:type="dxa"/>
          </w:tcPr>
          <w:p w:rsidR="008C28E7" w:rsidRPr="008C28E7" w:rsidRDefault="008C28E7" w:rsidP="008C28E7">
            <w:pPr>
              <w:jc w:val="both"/>
              <w:rPr>
                <w:rFonts w:ascii="Times New Roman" w:eastAsia="Calibri" w:hAnsi="Times New Roman" w:cs="Times New Roman"/>
                <w:sz w:val="28"/>
                <w:szCs w:val="28"/>
                <w:lang w:val="en-US"/>
              </w:rPr>
            </w:pPr>
            <w:r w:rsidRPr="008C28E7">
              <w:rPr>
                <w:rFonts w:ascii="Times New Roman" w:eastAsia="Calibri" w:hAnsi="Times New Roman" w:cs="Times New Roman"/>
                <w:sz w:val="28"/>
                <w:szCs w:val="28"/>
                <w:lang w:val="en-US"/>
              </w:rPr>
              <w:t>credit</w:t>
            </w:r>
          </w:p>
        </w:tc>
      </w:tr>
      <w:tr w:rsidR="008C28E7" w:rsidRPr="008C28E7" w:rsidTr="009A5BEB">
        <w:tc>
          <w:tcPr>
            <w:tcW w:w="3685" w:type="dxa"/>
          </w:tcPr>
          <w:p w:rsidR="008C28E7" w:rsidRPr="008C28E7" w:rsidRDefault="008C28E7" w:rsidP="009A5BEB">
            <w:pPr>
              <w:rPr>
                <w:rFonts w:ascii="Times New Roman" w:eastAsia="Calibri" w:hAnsi="Times New Roman" w:cs="Times New Roman"/>
                <w:b/>
                <w:sz w:val="28"/>
                <w:szCs w:val="28"/>
              </w:rPr>
            </w:pPr>
            <w:proofErr w:type="spellStart"/>
            <w:r w:rsidRPr="008C28E7">
              <w:rPr>
                <w:rFonts w:ascii="Times New Roman" w:eastAsia="Calibri" w:hAnsi="Times New Roman" w:cs="Times New Roman"/>
                <w:b/>
                <w:sz w:val="28"/>
                <w:szCs w:val="28"/>
              </w:rPr>
              <w:t>Number</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of</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credits</w:t>
            </w:r>
            <w:proofErr w:type="spellEnd"/>
          </w:p>
        </w:tc>
        <w:tc>
          <w:tcPr>
            <w:tcW w:w="5274" w:type="dxa"/>
          </w:tcPr>
          <w:p w:rsidR="008C28E7" w:rsidRPr="008C28E7" w:rsidRDefault="008C28E7" w:rsidP="008C28E7">
            <w:pPr>
              <w:jc w:val="both"/>
              <w:rPr>
                <w:rFonts w:ascii="Times New Roman" w:eastAsia="Calibri" w:hAnsi="Times New Roman" w:cs="Times New Roman"/>
                <w:sz w:val="28"/>
                <w:szCs w:val="28"/>
              </w:rPr>
            </w:pPr>
            <w:r w:rsidRPr="008C28E7">
              <w:rPr>
                <w:rFonts w:ascii="Times New Roman" w:eastAsia="Calibri" w:hAnsi="Times New Roman" w:cs="Times New Roman"/>
                <w:sz w:val="28"/>
                <w:szCs w:val="28"/>
              </w:rPr>
              <w:t>3</w:t>
            </w:r>
          </w:p>
        </w:tc>
      </w:tr>
      <w:tr w:rsidR="008C28E7" w:rsidRPr="001861A7" w:rsidTr="009A5BEB">
        <w:tc>
          <w:tcPr>
            <w:tcW w:w="3685" w:type="dxa"/>
          </w:tcPr>
          <w:p w:rsidR="008C28E7" w:rsidRPr="008C28E7" w:rsidRDefault="008C28E7" w:rsidP="009A5BEB">
            <w:pPr>
              <w:rPr>
                <w:rFonts w:ascii="Times New Roman" w:eastAsia="Calibri" w:hAnsi="Times New Roman" w:cs="Times New Roman"/>
                <w:b/>
                <w:sz w:val="28"/>
                <w:szCs w:val="28"/>
              </w:rPr>
            </w:pPr>
            <w:proofErr w:type="spellStart"/>
            <w:r w:rsidRPr="008C28E7">
              <w:rPr>
                <w:rFonts w:ascii="Times New Roman" w:eastAsia="Calibri" w:hAnsi="Times New Roman" w:cs="Times New Roman"/>
                <w:b/>
                <w:sz w:val="28"/>
                <w:szCs w:val="28"/>
              </w:rPr>
              <w:t>Emerging</w:t>
            </w:r>
            <w:proofErr w:type="spellEnd"/>
            <w:r w:rsidRPr="008C28E7">
              <w:rPr>
                <w:rFonts w:ascii="Times New Roman" w:eastAsia="Calibri" w:hAnsi="Times New Roman" w:cs="Times New Roman"/>
                <w:b/>
                <w:sz w:val="28"/>
                <w:szCs w:val="28"/>
              </w:rPr>
              <w:t xml:space="preserve"> </w:t>
            </w:r>
            <w:proofErr w:type="spellStart"/>
            <w:r w:rsidRPr="008C28E7">
              <w:rPr>
                <w:rFonts w:ascii="Times New Roman" w:eastAsia="Calibri" w:hAnsi="Times New Roman" w:cs="Times New Roman"/>
                <w:b/>
                <w:sz w:val="28"/>
                <w:szCs w:val="28"/>
              </w:rPr>
              <w:t>competencies</w:t>
            </w:r>
            <w:proofErr w:type="spellEnd"/>
          </w:p>
        </w:tc>
        <w:tc>
          <w:tcPr>
            <w:tcW w:w="5274" w:type="dxa"/>
          </w:tcPr>
          <w:p w:rsidR="008C28E7" w:rsidRPr="008C28E7" w:rsidRDefault="008C28E7" w:rsidP="008C28E7">
            <w:pPr>
              <w:jc w:val="both"/>
              <w:rPr>
                <w:rFonts w:ascii="Times New Roman" w:eastAsia="Calibri" w:hAnsi="Times New Roman" w:cs="Times New Roman"/>
                <w:sz w:val="28"/>
                <w:szCs w:val="28"/>
                <w:lang w:val="en-US"/>
              </w:rPr>
            </w:pPr>
            <w:r w:rsidRPr="008C28E7">
              <w:rPr>
                <w:rFonts w:ascii="Times New Roman" w:eastAsia="Calibri" w:hAnsi="Times New Roman" w:cs="Times New Roman"/>
                <w:sz w:val="28"/>
                <w:szCs w:val="28"/>
                <w:lang w:val="en-US"/>
              </w:rPr>
              <w:t>To solve research and innovation tasks based on the application of modern information and communication technologies. To be capable of forecasting the conditions for the realization of professional activity and solving professional tasks under conditions of uncertainty. To improve the skills of analysis, commenting, abstracting, and summarizing the results of classical and modern linguistic research, including computer methods and technologies.</w:t>
            </w:r>
          </w:p>
        </w:tc>
      </w:tr>
      <w:tr w:rsidR="008C28E7" w:rsidRPr="001861A7" w:rsidTr="009A5BEB">
        <w:tc>
          <w:tcPr>
            <w:tcW w:w="8959" w:type="dxa"/>
            <w:gridSpan w:val="2"/>
          </w:tcPr>
          <w:p w:rsidR="008C28E7" w:rsidRPr="008C28E7" w:rsidRDefault="008C28E7" w:rsidP="008C28E7">
            <w:pPr>
              <w:jc w:val="center"/>
              <w:rPr>
                <w:rFonts w:ascii="Times New Roman" w:eastAsia="Calibri" w:hAnsi="Times New Roman" w:cs="Times New Roman"/>
                <w:b/>
                <w:sz w:val="28"/>
                <w:szCs w:val="28"/>
                <w:lang w:val="en-US"/>
              </w:rPr>
            </w:pPr>
            <w:r w:rsidRPr="008C28E7">
              <w:rPr>
                <w:rFonts w:ascii="Times New Roman" w:eastAsia="Calibri" w:hAnsi="Times New Roman" w:cs="Times New Roman"/>
                <w:b/>
                <w:sz w:val="28"/>
                <w:szCs w:val="28"/>
                <w:lang w:val="en-US"/>
              </w:rPr>
              <w:t>Summary of the academic discipline:</w:t>
            </w:r>
          </w:p>
          <w:p w:rsidR="008C28E7" w:rsidRPr="008C28E7" w:rsidRDefault="008C28E7" w:rsidP="008C28E7">
            <w:pPr>
              <w:ind w:firstLine="709"/>
              <w:jc w:val="both"/>
              <w:rPr>
                <w:rFonts w:ascii="Times New Roman" w:eastAsia="Calibri" w:hAnsi="Times New Roman" w:cs="Times New Roman"/>
                <w:sz w:val="28"/>
                <w:szCs w:val="28"/>
                <w:lang w:val="en-US"/>
              </w:rPr>
            </w:pPr>
            <w:r w:rsidRPr="008C28E7">
              <w:rPr>
                <w:rFonts w:ascii="Times New Roman" w:eastAsia="Calibri" w:hAnsi="Times New Roman" w:cs="Times New Roman"/>
                <w:sz w:val="28"/>
                <w:szCs w:val="28"/>
                <w:lang w:val="en-US"/>
              </w:rPr>
              <w:t>The academic discipline "Corpus Linguistics" is included in the state component of the curriculum of the specialty 7-06-0231-03 "Theoretical and Applied Linguistics".</w:t>
            </w:r>
          </w:p>
          <w:p w:rsidR="008C28E7" w:rsidRPr="008C28E7" w:rsidRDefault="008C28E7" w:rsidP="008C28E7">
            <w:pPr>
              <w:ind w:firstLine="709"/>
              <w:jc w:val="both"/>
              <w:rPr>
                <w:rFonts w:ascii="Times New Roman" w:eastAsia="Calibri" w:hAnsi="Times New Roman" w:cs="Times New Roman"/>
                <w:sz w:val="28"/>
                <w:szCs w:val="28"/>
                <w:lang w:val="en-US"/>
              </w:rPr>
            </w:pPr>
            <w:r w:rsidRPr="008C28E7">
              <w:rPr>
                <w:rFonts w:ascii="Times New Roman" w:eastAsia="Calibri" w:hAnsi="Times New Roman" w:cs="Times New Roman"/>
                <w:sz w:val="28"/>
                <w:szCs w:val="28"/>
                <w:lang w:val="en-US"/>
              </w:rPr>
              <w:t>The content of the academic discipline "Corpus Linguistics" has a complex character and includes seven interconnected levels of studying the development of corpus technologies and their implementation in the study of language. All thematic levels assume theoretical and practical forms of mastering the material by master students. Such topical issues as: the problem of representativeness and completeness of the corpus; the structure of the corpus; the typology of linguistic corpuses and the grounds for their selection; corpuses as a means of obtaining statistics, word indexes, and concordances; stages of corpus creation; types of markings in corpuses, as well as the content of linguistic tasks solved on the basis of corpus technologies.</w:t>
            </w:r>
          </w:p>
        </w:tc>
      </w:tr>
    </w:tbl>
    <w:p w:rsidR="00A13557" w:rsidRPr="009A5BEB" w:rsidRDefault="00A13557" w:rsidP="008C28E7">
      <w:pPr>
        <w:spacing w:after="0" w:line="240" w:lineRule="auto"/>
        <w:jc w:val="both"/>
        <w:rPr>
          <w:rFonts w:ascii="Times New Roman" w:eastAsia="Calibri" w:hAnsi="Times New Roman" w:cs="Times New Roman"/>
          <w:b/>
          <w:sz w:val="28"/>
          <w:szCs w:val="28"/>
          <w:lang w:val="en-US"/>
        </w:rPr>
      </w:pPr>
    </w:p>
    <w:sectPr w:rsidR="00A13557" w:rsidRPr="009A5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E7"/>
    <w:rsid w:val="001861A7"/>
    <w:rsid w:val="00844251"/>
    <w:rsid w:val="008C28E7"/>
    <w:rsid w:val="009A5BEB"/>
    <w:rsid w:val="00A1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2025-04-10T09:11:00Z</dcterms:created>
  <dcterms:modified xsi:type="dcterms:W3CDTF">2025-04-15T12:03:00Z</dcterms:modified>
</cp:coreProperties>
</file>