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F2" w:rsidRDefault="00285CF2" w:rsidP="00285CF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285CF2" w:rsidRDefault="00285CF2" w:rsidP="00285CF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285CF2">
        <w:rPr>
          <w:rFonts w:ascii="Times New Roman" w:hAnsi="Times New Roman" w:cs="Times New Roman"/>
          <w:b/>
          <w:sz w:val="28"/>
          <w:szCs w:val="28"/>
          <w:lang w:val="en-US"/>
        </w:rPr>
        <w:t>General Biochemistry</w:t>
      </w:r>
      <w:bookmarkEnd w:id="0"/>
      <w:r>
        <w:rPr>
          <w:rFonts w:ascii="Times New Roman" w:hAnsi="Times New Roman" w:cs="Times New Roman"/>
          <w:b/>
          <w:sz w:val="28"/>
          <w:szCs w:val="28"/>
          <w:lang w:val="en-US"/>
        </w:rPr>
        <w:t>”</w:t>
      </w:r>
    </w:p>
    <w:p w:rsidR="00285CF2" w:rsidRDefault="00285CF2" w:rsidP="00285CF2">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285CF2" w:rsidRPr="00285CF2" w:rsidTr="00285CF2">
        <w:tc>
          <w:tcPr>
            <w:tcW w:w="3227" w:type="dxa"/>
            <w:tcBorders>
              <w:top w:val="single" w:sz="4" w:space="0" w:color="auto"/>
              <w:left w:val="single" w:sz="4" w:space="0" w:color="auto"/>
              <w:bottom w:val="single" w:sz="4" w:space="0" w:color="auto"/>
              <w:right w:val="single" w:sz="4" w:space="0" w:color="auto"/>
            </w:tcBorders>
            <w:hideMark/>
          </w:tcPr>
          <w:p w:rsidR="00285CF2" w:rsidRPr="00285CF2" w:rsidRDefault="00285CF2">
            <w:pPr>
              <w:widowControl w:val="0"/>
              <w:suppressAutoHyphens/>
              <w:autoSpaceDN w:val="0"/>
              <w:jc w:val="both"/>
              <w:rPr>
                <w:rFonts w:ascii="Times New Roman" w:eastAsia="Times New Roman" w:hAnsi="Times New Roman" w:cs="Times New Roman"/>
                <w:b/>
                <w:sz w:val="28"/>
                <w:szCs w:val="28"/>
                <w:lang w:val="en-US" w:eastAsia="en-US"/>
              </w:rPr>
            </w:pPr>
            <w:r w:rsidRPr="00285CF2">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85CF2" w:rsidRPr="00285CF2" w:rsidRDefault="00285CF2">
            <w:pPr>
              <w:widowControl w:val="0"/>
              <w:suppressAutoHyphens/>
              <w:autoSpaceDN w:val="0"/>
              <w:rPr>
                <w:rFonts w:ascii="Times New Roman" w:eastAsia="Times New Roman" w:hAnsi="Times New Roman" w:cs="Times New Roman"/>
                <w:sz w:val="28"/>
                <w:szCs w:val="28"/>
                <w:lang w:val="en-US" w:eastAsia="en-US"/>
              </w:rPr>
            </w:pPr>
            <w:r w:rsidRPr="00285CF2">
              <w:rPr>
                <w:rFonts w:ascii="Times New Roman" w:hAnsi="Times New Roman" w:cs="Times New Roman"/>
                <w:bCs/>
                <w:color w:val="000000"/>
                <w:sz w:val="28"/>
                <w:szCs w:val="28"/>
                <w:lang w:val="en-US"/>
              </w:rPr>
              <w:t>6-05-0511-04 Biomedical Science</w:t>
            </w:r>
          </w:p>
        </w:tc>
      </w:tr>
      <w:tr w:rsidR="00285CF2" w:rsidTr="00285CF2">
        <w:tc>
          <w:tcPr>
            <w:tcW w:w="3227" w:type="dxa"/>
            <w:tcBorders>
              <w:top w:val="single" w:sz="4" w:space="0" w:color="auto"/>
              <w:left w:val="single" w:sz="4" w:space="0" w:color="auto"/>
              <w:bottom w:val="single" w:sz="4" w:space="0" w:color="auto"/>
              <w:right w:val="single" w:sz="4" w:space="0" w:color="auto"/>
            </w:tcBorders>
            <w:hideMark/>
          </w:tcPr>
          <w:p w:rsidR="00285CF2" w:rsidRDefault="00285CF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85CF2" w:rsidRDefault="00285CF2">
            <w:pPr>
              <w:rPr>
                <w:rFonts w:ascii="Times New Roman" w:hAnsi="Times New Roman" w:cs="Times New Roman"/>
                <w:sz w:val="28"/>
                <w:szCs w:val="28"/>
                <w:lang w:eastAsia="en-US"/>
              </w:rPr>
            </w:pPr>
            <w:r>
              <w:rPr>
                <w:rFonts w:ascii="Times New Roman" w:hAnsi="Times New Roman" w:cs="Times New Roman"/>
                <w:sz w:val="28"/>
                <w:szCs w:val="28"/>
              </w:rPr>
              <w:t>2</w:t>
            </w:r>
          </w:p>
        </w:tc>
      </w:tr>
      <w:tr w:rsidR="00285CF2" w:rsidTr="00285CF2">
        <w:tc>
          <w:tcPr>
            <w:tcW w:w="3227" w:type="dxa"/>
            <w:tcBorders>
              <w:top w:val="single" w:sz="4" w:space="0" w:color="auto"/>
              <w:left w:val="single" w:sz="4" w:space="0" w:color="auto"/>
              <w:bottom w:val="single" w:sz="4" w:space="0" w:color="auto"/>
              <w:right w:val="single" w:sz="4" w:space="0" w:color="auto"/>
            </w:tcBorders>
            <w:hideMark/>
          </w:tcPr>
          <w:p w:rsidR="00285CF2" w:rsidRDefault="00285CF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85CF2" w:rsidRDefault="00285CF2">
            <w:pP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285CF2" w:rsidTr="00285CF2">
        <w:tc>
          <w:tcPr>
            <w:tcW w:w="3227" w:type="dxa"/>
            <w:tcBorders>
              <w:top w:val="single" w:sz="4" w:space="0" w:color="auto"/>
              <w:left w:val="single" w:sz="4" w:space="0" w:color="auto"/>
              <w:bottom w:val="single" w:sz="4" w:space="0" w:color="auto"/>
              <w:right w:val="single" w:sz="4" w:space="0" w:color="auto"/>
            </w:tcBorders>
            <w:hideMark/>
          </w:tcPr>
          <w:p w:rsidR="00285CF2" w:rsidRDefault="00285CF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85CF2" w:rsidRPr="00285CF2" w:rsidRDefault="00285CF2">
            <w:pPr>
              <w:rPr>
                <w:rFonts w:ascii="Times New Roman" w:hAnsi="Times New Roman" w:cs="Times New Roman"/>
                <w:sz w:val="28"/>
                <w:szCs w:val="28"/>
                <w:lang w:eastAsia="en-US"/>
              </w:rPr>
            </w:pPr>
            <w:r>
              <w:rPr>
                <w:rFonts w:ascii="Times New Roman" w:hAnsi="Times New Roman" w:cs="Times New Roman"/>
                <w:sz w:val="28"/>
                <w:szCs w:val="28"/>
                <w:lang w:eastAsia="en-US"/>
              </w:rPr>
              <w:t>134</w:t>
            </w:r>
          </w:p>
        </w:tc>
      </w:tr>
      <w:tr w:rsidR="00285CF2" w:rsidTr="00285CF2">
        <w:tc>
          <w:tcPr>
            <w:tcW w:w="3227" w:type="dxa"/>
            <w:vMerge w:val="restart"/>
            <w:tcBorders>
              <w:top w:val="single" w:sz="4" w:space="0" w:color="auto"/>
              <w:left w:val="single" w:sz="4" w:space="0" w:color="auto"/>
              <w:bottom w:val="single" w:sz="4" w:space="0" w:color="auto"/>
              <w:right w:val="single" w:sz="4" w:space="0" w:color="auto"/>
            </w:tcBorders>
            <w:hideMark/>
          </w:tcPr>
          <w:p w:rsidR="00285CF2" w:rsidRDefault="00285CF2">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285CF2" w:rsidRDefault="00285CF2">
            <w:pPr>
              <w:rPr>
                <w:rFonts w:ascii="Times New Roman" w:eastAsiaTheme="minorHAnsi" w:hAnsi="Times New Roman" w:cs="Times New Roman"/>
                <w:b/>
                <w:sz w:val="28"/>
                <w:szCs w:val="28"/>
                <w:lang w:val="en-US"/>
              </w:rPr>
            </w:pPr>
            <w:r>
              <w:rPr>
                <w:rFonts w:ascii="Times New Roman" w:hAnsi="Times New Roman" w:cs="Times New Roman"/>
                <w:b/>
                <w:sz w:val="28"/>
                <w:szCs w:val="28"/>
                <w:lang w:val="en-US"/>
              </w:rPr>
              <w:t xml:space="preserve">Seminar classes </w:t>
            </w:r>
          </w:p>
          <w:p w:rsidR="00285CF2" w:rsidRDefault="00285CF2">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285CF2" w:rsidRDefault="00285CF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85CF2" w:rsidRPr="00285CF2" w:rsidRDefault="00285CF2">
            <w:pP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285CF2" w:rsidTr="00285CF2">
        <w:tc>
          <w:tcPr>
            <w:tcW w:w="0" w:type="auto"/>
            <w:vMerge/>
            <w:tcBorders>
              <w:top w:val="single" w:sz="4" w:space="0" w:color="auto"/>
              <w:left w:val="single" w:sz="4" w:space="0" w:color="auto"/>
              <w:bottom w:val="single" w:sz="4" w:space="0" w:color="auto"/>
              <w:right w:val="single" w:sz="4" w:space="0" w:color="auto"/>
            </w:tcBorders>
            <w:vAlign w:val="center"/>
            <w:hideMark/>
          </w:tcPr>
          <w:p w:rsidR="00285CF2" w:rsidRDefault="00285CF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85CF2" w:rsidRPr="00285CF2" w:rsidRDefault="00285CF2">
            <w:pPr>
              <w:rPr>
                <w:rFonts w:ascii="Times New Roman" w:hAnsi="Times New Roman" w:cs="Times New Roman"/>
                <w:sz w:val="28"/>
                <w:szCs w:val="28"/>
                <w:lang w:eastAsia="en-US"/>
              </w:rPr>
            </w:pPr>
            <w:r>
              <w:rPr>
                <w:rFonts w:ascii="Times New Roman" w:hAnsi="Times New Roman" w:cs="Times New Roman"/>
                <w:sz w:val="28"/>
                <w:szCs w:val="28"/>
                <w:lang w:eastAsia="en-US"/>
              </w:rPr>
              <w:t>26</w:t>
            </w:r>
          </w:p>
        </w:tc>
      </w:tr>
      <w:tr w:rsidR="00285CF2" w:rsidTr="00285CF2">
        <w:tc>
          <w:tcPr>
            <w:tcW w:w="0" w:type="auto"/>
            <w:vMerge/>
            <w:tcBorders>
              <w:top w:val="single" w:sz="4" w:space="0" w:color="auto"/>
              <w:left w:val="single" w:sz="4" w:space="0" w:color="auto"/>
              <w:bottom w:val="single" w:sz="4" w:space="0" w:color="auto"/>
              <w:right w:val="single" w:sz="4" w:space="0" w:color="auto"/>
            </w:tcBorders>
            <w:vAlign w:val="center"/>
            <w:hideMark/>
          </w:tcPr>
          <w:p w:rsidR="00285CF2" w:rsidRDefault="00285CF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85CF2" w:rsidRDefault="00285CF2">
            <w:pPr>
              <w:rPr>
                <w:rFonts w:ascii="Times New Roman" w:hAnsi="Times New Roman" w:cs="Times New Roman"/>
                <w:sz w:val="28"/>
                <w:szCs w:val="28"/>
                <w:lang w:eastAsia="en-US"/>
              </w:rPr>
            </w:pPr>
            <w:r>
              <w:rPr>
                <w:rFonts w:ascii="Times New Roman" w:hAnsi="Times New Roman" w:cs="Times New Roman"/>
                <w:sz w:val="28"/>
                <w:szCs w:val="28"/>
              </w:rPr>
              <w:t>-</w:t>
            </w:r>
          </w:p>
        </w:tc>
      </w:tr>
      <w:tr w:rsidR="00285CF2" w:rsidTr="00285CF2">
        <w:tc>
          <w:tcPr>
            <w:tcW w:w="0" w:type="auto"/>
            <w:vMerge/>
            <w:tcBorders>
              <w:top w:val="single" w:sz="4" w:space="0" w:color="auto"/>
              <w:left w:val="single" w:sz="4" w:space="0" w:color="auto"/>
              <w:bottom w:val="single" w:sz="4" w:space="0" w:color="auto"/>
              <w:right w:val="single" w:sz="4" w:space="0" w:color="auto"/>
            </w:tcBorders>
            <w:vAlign w:val="center"/>
            <w:hideMark/>
          </w:tcPr>
          <w:p w:rsidR="00285CF2" w:rsidRDefault="00285CF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85CF2" w:rsidRDefault="00285CF2" w:rsidP="00285CF2">
            <w:pPr>
              <w:rPr>
                <w:rFonts w:ascii="Times New Roman" w:hAnsi="Times New Roman" w:cs="Times New Roman"/>
                <w:sz w:val="28"/>
                <w:szCs w:val="28"/>
                <w:lang w:eastAsia="en-US"/>
              </w:rPr>
            </w:pPr>
            <w:r>
              <w:rPr>
                <w:rFonts w:ascii="Times New Roman" w:hAnsi="Times New Roman" w:cs="Times New Roman"/>
                <w:sz w:val="28"/>
                <w:szCs w:val="28"/>
              </w:rPr>
              <w:t>44</w:t>
            </w:r>
          </w:p>
        </w:tc>
      </w:tr>
      <w:tr w:rsidR="00285CF2" w:rsidTr="00285CF2">
        <w:tc>
          <w:tcPr>
            <w:tcW w:w="3227" w:type="dxa"/>
            <w:tcBorders>
              <w:top w:val="single" w:sz="4" w:space="0" w:color="auto"/>
              <w:left w:val="single" w:sz="4" w:space="0" w:color="auto"/>
              <w:bottom w:val="single" w:sz="4" w:space="0" w:color="auto"/>
              <w:right w:val="single" w:sz="4" w:space="0" w:color="auto"/>
            </w:tcBorders>
            <w:hideMark/>
          </w:tcPr>
          <w:p w:rsidR="00285CF2" w:rsidRDefault="00285CF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85CF2" w:rsidRDefault="00285CF2">
            <w:pPr>
              <w:rPr>
                <w:rFonts w:ascii="Times New Roman" w:hAnsi="Times New Roman" w:cs="Times New Roman"/>
                <w:sz w:val="28"/>
                <w:szCs w:val="28"/>
                <w:lang w:val="en-US" w:eastAsia="en-US"/>
              </w:rPr>
            </w:pPr>
            <w:r>
              <w:rPr>
                <w:rFonts w:ascii="Times New Roman" w:hAnsi="Times New Roman" w:cs="Times New Roman"/>
                <w:sz w:val="28"/>
                <w:szCs w:val="28"/>
                <w:lang w:val="en-US"/>
              </w:rPr>
              <w:t>credit</w:t>
            </w:r>
          </w:p>
        </w:tc>
      </w:tr>
      <w:tr w:rsidR="00285CF2" w:rsidTr="00285CF2">
        <w:tc>
          <w:tcPr>
            <w:tcW w:w="3227" w:type="dxa"/>
            <w:tcBorders>
              <w:top w:val="single" w:sz="4" w:space="0" w:color="auto"/>
              <w:left w:val="single" w:sz="4" w:space="0" w:color="auto"/>
              <w:bottom w:val="single" w:sz="4" w:space="0" w:color="auto"/>
              <w:right w:val="single" w:sz="4" w:space="0" w:color="auto"/>
            </w:tcBorders>
            <w:hideMark/>
          </w:tcPr>
          <w:p w:rsidR="00285CF2" w:rsidRDefault="00285CF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85CF2" w:rsidRDefault="00285CF2">
            <w:pPr>
              <w:rPr>
                <w:rFonts w:ascii="Times New Roman" w:hAnsi="Times New Roman" w:cs="Times New Roman"/>
                <w:sz w:val="28"/>
                <w:szCs w:val="28"/>
                <w:lang w:eastAsia="en-US"/>
              </w:rPr>
            </w:pPr>
            <w:r>
              <w:rPr>
                <w:rFonts w:ascii="Times New Roman" w:hAnsi="Times New Roman" w:cs="Times New Roman"/>
                <w:sz w:val="28"/>
                <w:szCs w:val="28"/>
              </w:rPr>
              <w:t>2</w:t>
            </w:r>
          </w:p>
        </w:tc>
      </w:tr>
      <w:tr w:rsidR="00285CF2" w:rsidRPr="00882CF2" w:rsidTr="00285CF2">
        <w:tc>
          <w:tcPr>
            <w:tcW w:w="3227" w:type="dxa"/>
            <w:tcBorders>
              <w:top w:val="single" w:sz="4" w:space="0" w:color="auto"/>
              <w:left w:val="single" w:sz="4" w:space="0" w:color="auto"/>
              <w:bottom w:val="single" w:sz="4" w:space="0" w:color="auto"/>
              <w:right w:val="single" w:sz="4" w:space="0" w:color="auto"/>
            </w:tcBorders>
            <w:hideMark/>
          </w:tcPr>
          <w:p w:rsidR="00285CF2" w:rsidRDefault="00285CF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85CF2" w:rsidRPr="00285CF2" w:rsidRDefault="00285CF2" w:rsidP="00285CF2">
            <w:pPr>
              <w:jc w:val="both"/>
              <w:rPr>
                <w:rFonts w:ascii="Times New Roman" w:eastAsia="Times New Roman" w:hAnsi="Times New Roman" w:cs="Times New Roman"/>
                <w:color w:val="000000"/>
                <w:sz w:val="28"/>
                <w:szCs w:val="28"/>
                <w:lang w:val="en-US" w:eastAsia="en-US"/>
              </w:rPr>
            </w:pPr>
            <w:r w:rsidRPr="00285CF2">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285CF2">
              <w:rPr>
                <w:rFonts w:ascii="Times New Roman" w:hAnsi="Times New Roman" w:cs="Times New Roman"/>
                <w:sz w:val="28"/>
                <w:szCs w:val="28"/>
                <w:lang w:val="en-US"/>
              </w:rPr>
              <w:t>General Biochemistry</w:t>
            </w:r>
            <w:r>
              <w:rPr>
                <w:rFonts w:ascii="Times New Roman" w:hAnsi="Times New Roman" w:cs="Times New Roman"/>
                <w:sz w:val="28"/>
                <w:szCs w:val="28"/>
                <w:lang w:val="en-US"/>
              </w:rPr>
              <w:t>”</w:t>
            </w:r>
            <w:r w:rsidRPr="00285CF2">
              <w:rPr>
                <w:rFonts w:ascii="Times New Roman" w:hAnsi="Times New Roman" w:cs="Times New Roman"/>
                <w:sz w:val="28"/>
                <w:szCs w:val="28"/>
                <w:lang w:val="en-US"/>
              </w:rPr>
              <w:t xml:space="preserve"> should ensure the formation of specialized competencies: using the patterns of the most important organic reactions, biochemical principles of cell functioning, methods of biochemical analysis to assess life processes in norm and pathology.</w:t>
            </w:r>
          </w:p>
        </w:tc>
      </w:tr>
      <w:tr w:rsidR="00285CF2" w:rsidRPr="00882CF2" w:rsidTr="00285CF2">
        <w:tc>
          <w:tcPr>
            <w:tcW w:w="9570" w:type="dxa"/>
            <w:gridSpan w:val="2"/>
            <w:tcBorders>
              <w:top w:val="single" w:sz="4" w:space="0" w:color="auto"/>
              <w:left w:val="single" w:sz="4" w:space="0" w:color="auto"/>
              <w:bottom w:val="single" w:sz="4" w:space="0" w:color="auto"/>
              <w:right w:val="single" w:sz="4" w:space="0" w:color="auto"/>
            </w:tcBorders>
            <w:hideMark/>
          </w:tcPr>
          <w:p w:rsidR="00285CF2" w:rsidRDefault="00285CF2">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285CF2" w:rsidRPr="00285CF2" w:rsidRDefault="00285CF2" w:rsidP="00285CF2">
            <w:pPr>
              <w:shd w:val="clear" w:color="auto" w:fill="FFFFFF"/>
              <w:ind w:firstLine="709"/>
              <w:contextualSpacing/>
              <w:jc w:val="both"/>
              <w:rPr>
                <w:rFonts w:ascii="Times New Roman" w:eastAsia="Calibri" w:hAnsi="Times New Roman" w:cs="Times New Roman"/>
                <w:sz w:val="28"/>
                <w:szCs w:val="28"/>
                <w:lang w:val="en-US" w:eastAsia="en-US"/>
              </w:rPr>
            </w:pPr>
            <w:r w:rsidRPr="00285CF2">
              <w:rPr>
                <w:rFonts w:ascii="Times New Roman" w:eastAsia="Times New Roman" w:hAnsi="Times New Roman" w:cs="Times New Roman"/>
                <w:sz w:val="28"/>
                <w:szCs w:val="28"/>
                <w:lang w:val="en-US"/>
              </w:rPr>
              <w:t xml:space="preserve">The academic discipline </w:t>
            </w:r>
            <w:r>
              <w:rPr>
                <w:rFonts w:ascii="Times New Roman" w:eastAsia="Times New Roman" w:hAnsi="Times New Roman" w:cs="Times New Roman"/>
                <w:sz w:val="28"/>
                <w:szCs w:val="28"/>
                <w:lang w:val="en-US"/>
              </w:rPr>
              <w:t>“</w:t>
            </w:r>
            <w:r w:rsidRPr="00285CF2">
              <w:rPr>
                <w:rFonts w:ascii="Times New Roman" w:eastAsia="Times New Roman" w:hAnsi="Times New Roman" w:cs="Times New Roman"/>
                <w:sz w:val="28"/>
                <w:szCs w:val="28"/>
                <w:lang w:val="en-US"/>
              </w:rPr>
              <w:t>General Biochemistry</w:t>
            </w:r>
            <w:r>
              <w:rPr>
                <w:rFonts w:ascii="Times New Roman" w:eastAsia="Times New Roman" w:hAnsi="Times New Roman" w:cs="Times New Roman"/>
                <w:sz w:val="28"/>
                <w:szCs w:val="28"/>
                <w:lang w:val="en-US"/>
              </w:rPr>
              <w:t>”</w:t>
            </w:r>
            <w:r w:rsidRPr="00285CF2">
              <w:rPr>
                <w:rFonts w:ascii="Times New Roman" w:eastAsia="Times New Roman" w:hAnsi="Times New Roman" w:cs="Times New Roman"/>
                <w:sz w:val="28"/>
                <w:szCs w:val="28"/>
                <w:lang w:val="en-US"/>
              </w:rPr>
              <w:t xml:space="preserve"> is the basis for further mastering by students of special disciplines related to medicine, biology and current problems of ecology "General Ecology", "Molecular Biology", "Biotechnology". </w:t>
            </w:r>
            <w:r w:rsidRPr="00882CF2">
              <w:rPr>
                <w:rFonts w:ascii="Times New Roman" w:eastAsia="Times New Roman" w:hAnsi="Times New Roman" w:cs="Times New Roman"/>
                <w:sz w:val="28"/>
                <w:szCs w:val="28"/>
                <w:lang w:val="en-US"/>
              </w:rPr>
              <w:t>"Fundamentals of Medical Chemistry". Knowledge of various topics of the course "General Biochemistry" allows you to understand the commonality of chemical processes occurring in nature, as well as to clarify the mechanisms of chemical and enzymatic reactions in bacterial cells and cells of animal and plant origin.</w:t>
            </w:r>
          </w:p>
        </w:tc>
      </w:tr>
    </w:tbl>
    <w:p w:rsidR="00285CF2" w:rsidRDefault="00285CF2" w:rsidP="00285CF2">
      <w:pPr>
        <w:spacing w:after="0" w:line="240" w:lineRule="auto"/>
        <w:rPr>
          <w:rFonts w:ascii="Times New Roman" w:eastAsia="Calibri" w:hAnsi="Times New Roman" w:cs="Times New Roman"/>
          <w:kern w:val="2"/>
          <w:sz w:val="28"/>
          <w:szCs w:val="28"/>
          <w:lang w:val="en-US" w:eastAsia="en-US"/>
        </w:rPr>
      </w:pPr>
    </w:p>
    <w:p w:rsidR="001F10D1" w:rsidRPr="00285CF2" w:rsidRDefault="001F10D1">
      <w:pPr>
        <w:rPr>
          <w:lang w:val="en-US"/>
        </w:rPr>
      </w:pPr>
    </w:p>
    <w:sectPr w:rsidR="001F10D1" w:rsidRPr="00285CF2" w:rsidSect="00981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1E"/>
    <w:rsid w:val="001F10D1"/>
    <w:rsid w:val="00285CF2"/>
    <w:rsid w:val="00882CF2"/>
    <w:rsid w:val="009817D3"/>
    <w:rsid w:val="00FE1A1E"/>
    <w:rsid w:val="00FF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FE1A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8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85CF2"/>
    <w:rPr>
      <w:b/>
      <w:bCs/>
    </w:rPr>
  </w:style>
  <w:style w:type="character" w:customStyle="1" w:styleId="rynqvb">
    <w:name w:val="rynqvb"/>
    <w:basedOn w:val="a0"/>
    <w:rsid w:val="00285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FE1A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8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85CF2"/>
    <w:rPr>
      <w:b/>
      <w:bCs/>
    </w:rPr>
  </w:style>
  <w:style w:type="character" w:customStyle="1" w:styleId="rynqvb">
    <w:name w:val="rynqvb"/>
    <w:basedOn w:val="a0"/>
    <w:rsid w:val="00285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2025-07-24T07:04:00Z</dcterms:created>
  <dcterms:modified xsi:type="dcterms:W3CDTF">2025-07-24T07:04:00Z</dcterms:modified>
</cp:coreProperties>
</file>