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07" w:rsidRPr="006F0A07" w:rsidRDefault="006F0A07" w:rsidP="006F0A07">
      <w:pPr>
        <w:spacing w:after="0" w:line="240" w:lineRule="auto"/>
        <w:jc w:val="center"/>
        <w:rPr>
          <w:rFonts w:ascii="Times New Roman" w:hAnsi="Times New Roman" w:cs="Times New Roman"/>
          <w:b/>
          <w:sz w:val="28"/>
          <w:szCs w:val="28"/>
          <w:lang w:val="en-US"/>
        </w:rPr>
      </w:pPr>
      <w:r w:rsidRPr="006F0A07">
        <w:rPr>
          <w:rFonts w:ascii="Times New Roman" w:hAnsi="Times New Roman" w:cs="Times New Roman"/>
          <w:b/>
          <w:sz w:val="28"/>
          <w:szCs w:val="28"/>
          <w:lang w:val="en-US"/>
        </w:rPr>
        <w:t>The name of the academic discipline:</w:t>
      </w:r>
    </w:p>
    <w:p w:rsidR="006F0A07" w:rsidRPr="006F0A07" w:rsidRDefault="006F0A07" w:rsidP="006F0A07">
      <w:pPr>
        <w:spacing w:after="0" w:line="240" w:lineRule="auto"/>
        <w:jc w:val="center"/>
        <w:rPr>
          <w:rFonts w:ascii="Times New Roman" w:hAnsi="Times New Roman" w:cs="Times New Roman"/>
          <w:b/>
          <w:sz w:val="28"/>
          <w:szCs w:val="28"/>
          <w:lang w:val="en-US"/>
        </w:rPr>
      </w:pPr>
      <w:r w:rsidRPr="006F0A07">
        <w:rPr>
          <w:rFonts w:ascii="Times New Roman" w:hAnsi="Times New Roman" w:cs="Times New Roman"/>
          <w:b/>
          <w:sz w:val="28"/>
          <w:szCs w:val="28"/>
          <w:lang w:val="en-US"/>
        </w:rPr>
        <w:t>«Foreign Language»</w:t>
      </w:r>
    </w:p>
    <w:p w:rsidR="006F0A07" w:rsidRPr="006F0A07" w:rsidRDefault="006F0A07" w:rsidP="006F0A07">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4"/>
      </w:tblGrid>
      <w:tr w:rsidR="006F0A07" w:rsidTr="00694B80">
        <w:tc>
          <w:tcPr>
            <w:tcW w:w="3227" w:type="dxa"/>
          </w:tcPr>
          <w:p w:rsidR="006F0A07" w:rsidRPr="0022153E" w:rsidRDefault="006F0A07" w:rsidP="00694B80">
            <w:pPr>
              <w:suppressAutoHyphens/>
              <w:spacing w:after="0" w:line="240" w:lineRule="auto"/>
              <w:jc w:val="both"/>
              <w:rPr>
                <w:rFonts w:ascii="Times New Roman" w:eastAsia="Calibri" w:hAnsi="Times New Roman" w:cs="Times New Roman"/>
                <w:b/>
                <w:sz w:val="28"/>
                <w:szCs w:val="28"/>
                <w:lang w:val="en-US"/>
              </w:rPr>
            </w:pPr>
            <w:r w:rsidRPr="0022153E">
              <w:rPr>
                <w:rStyle w:val="a4"/>
                <w:rFonts w:ascii="Times New Roman" w:hAnsi="Times New Roman" w:cs="Times New Roman"/>
                <w:color w:val="000000"/>
                <w:sz w:val="28"/>
                <w:szCs w:val="28"/>
                <w:shd w:val="clear" w:color="auto" w:fill="FFFFFF"/>
                <w:lang w:val="en-US"/>
              </w:rPr>
              <w:t>Specialty code and name</w:t>
            </w:r>
          </w:p>
        </w:tc>
        <w:tc>
          <w:tcPr>
            <w:tcW w:w="6344" w:type="dxa"/>
          </w:tcPr>
          <w:p w:rsidR="006F0A07" w:rsidRPr="00697771" w:rsidRDefault="006F0A07" w:rsidP="00694B80">
            <w:pPr>
              <w:spacing w:after="0" w:line="240" w:lineRule="auto"/>
              <w:rPr>
                <w:rFonts w:ascii="Times New Roman" w:hAnsi="Times New Roman" w:cs="Times New Roman"/>
                <w:sz w:val="28"/>
                <w:szCs w:val="28"/>
              </w:rPr>
            </w:pPr>
            <w:r w:rsidRPr="006F0A07">
              <w:rPr>
                <w:rFonts w:ascii="Times New Roman" w:hAnsi="Times New Roman"/>
                <w:sz w:val="28"/>
                <w:szCs w:val="28"/>
              </w:rPr>
              <w:t xml:space="preserve">6-05 1012 02 </w:t>
            </w:r>
            <w:proofErr w:type="spellStart"/>
            <w:r w:rsidRPr="006F0A07">
              <w:rPr>
                <w:rFonts w:ascii="Times New Roman" w:hAnsi="Times New Roman"/>
                <w:sz w:val="28"/>
                <w:szCs w:val="28"/>
              </w:rPr>
              <w:t>Coaching</w:t>
            </w:r>
            <w:proofErr w:type="spellEnd"/>
            <w:r w:rsidRPr="006F0A07">
              <w:rPr>
                <w:rFonts w:ascii="Times New Roman" w:hAnsi="Times New Roman"/>
                <w:sz w:val="28"/>
                <w:szCs w:val="28"/>
              </w:rPr>
              <w:t xml:space="preserve"> </w:t>
            </w:r>
            <w:proofErr w:type="spellStart"/>
            <w:r w:rsidRPr="006F0A07">
              <w:rPr>
                <w:rFonts w:ascii="Times New Roman" w:hAnsi="Times New Roman"/>
                <w:sz w:val="28"/>
                <w:szCs w:val="28"/>
              </w:rPr>
              <w:t>Activities</w:t>
            </w:r>
            <w:proofErr w:type="spellEnd"/>
            <w:r w:rsidRPr="006F0A07">
              <w:rPr>
                <w:rFonts w:ascii="Times New Roman" w:hAnsi="Times New Roman"/>
                <w:sz w:val="28"/>
                <w:szCs w:val="28"/>
              </w:rPr>
              <w:t xml:space="preserve"> (</w:t>
            </w:r>
            <w:proofErr w:type="spellStart"/>
            <w:r w:rsidRPr="006F0A07">
              <w:rPr>
                <w:rFonts w:ascii="Times New Roman" w:hAnsi="Times New Roman"/>
                <w:sz w:val="28"/>
                <w:szCs w:val="28"/>
              </w:rPr>
              <w:t>Athletics</w:t>
            </w:r>
            <w:proofErr w:type="spellEnd"/>
            <w:r w:rsidRPr="006F0A07">
              <w:rPr>
                <w:rFonts w:ascii="Times New Roman" w:hAnsi="Times New Roman"/>
                <w:sz w:val="28"/>
                <w:szCs w:val="28"/>
              </w:rPr>
              <w:t>)</w:t>
            </w:r>
          </w:p>
        </w:tc>
      </w:tr>
      <w:tr w:rsidR="006F0A07" w:rsidTr="00694B80">
        <w:tc>
          <w:tcPr>
            <w:tcW w:w="3227" w:type="dxa"/>
          </w:tcPr>
          <w:p w:rsidR="006F0A07" w:rsidRDefault="006F0A07" w:rsidP="00694B80">
            <w:pPr>
              <w:suppressAutoHyphens/>
              <w:spacing w:after="0" w:line="240" w:lineRule="auto"/>
              <w:jc w:val="both"/>
              <w:rPr>
                <w:rFonts w:ascii="Times New Roman" w:eastAsia="Calibri" w:hAnsi="Times New Roman" w:cs="Times New Roman"/>
                <w:b/>
                <w:sz w:val="28"/>
                <w:szCs w:val="28"/>
                <w:lang w:val="en-US"/>
              </w:rPr>
            </w:pPr>
            <w:r>
              <w:rPr>
                <w:rFonts w:ascii="Times New Roman" w:hAnsi="Times New Roman"/>
                <w:b/>
                <w:sz w:val="28"/>
                <w:szCs w:val="28"/>
                <w:lang w:val="en-US"/>
              </w:rPr>
              <w:t>Year of study</w:t>
            </w:r>
          </w:p>
        </w:tc>
        <w:tc>
          <w:tcPr>
            <w:tcW w:w="6344" w:type="dxa"/>
          </w:tcPr>
          <w:p w:rsidR="006F0A07" w:rsidRPr="005D3049" w:rsidRDefault="006F0A07" w:rsidP="00694B80">
            <w:pPr>
              <w:spacing w:after="0" w:line="240" w:lineRule="auto"/>
              <w:rPr>
                <w:rFonts w:ascii="Times New Roman" w:hAnsi="Times New Roman" w:cs="Times New Roman"/>
                <w:sz w:val="28"/>
                <w:szCs w:val="28"/>
              </w:rPr>
            </w:pPr>
            <w:r w:rsidRPr="005D3049">
              <w:rPr>
                <w:rFonts w:ascii="Times New Roman" w:hAnsi="Times New Roman" w:cs="Times New Roman"/>
                <w:sz w:val="28"/>
                <w:szCs w:val="28"/>
              </w:rPr>
              <w:t>1</w:t>
            </w:r>
          </w:p>
        </w:tc>
      </w:tr>
      <w:tr w:rsidR="006F0A07" w:rsidTr="00694B80">
        <w:tc>
          <w:tcPr>
            <w:tcW w:w="3227" w:type="dxa"/>
          </w:tcPr>
          <w:p w:rsidR="006F0A07" w:rsidRDefault="006F0A07" w:rsidP="00694B80">
            <w:pPr>
              <w:suppressAutoHyphens/>
              <w:spacing w:after="0" w:line="240" w:lineRule="auto"/>
              <w:jc w:val="both"/>
              <w:rPr>
                <w:rFonts w:ascii="Times New Roman" w:eastAsia="Calibri" w:hAnsi="Times New Roman" w:cs="Times New Roman"/>
                <w:b/>
                <w:sz w:val="28"/>
                <w:szCs w:val="28"/>
                <w:lang w:val="en-US"/>
              </w:rPr>
            </w:pPr>
            <w:r>
              <w:rPr>
                <w:rFonts w:ascii="Times New Roman" w:hAnsi="Times New Roman"/>
                <w:b/>
                <w:sz w:val="28"/>
                <w:szCs w:val="28"/>
                <w:lang w:val="en-US"/>
              </w:rPr>
              <w:t>Semester of study</w:t>
            </w:r>
          </w:p>
        </w:tc>
        <w:tc>
          <w:tcPr>
            <w:tcW w:w="6344" w:type="dxa"/>
          </w:tcPr>
          <w:p w:rsidR="006F0A07" w:rsidRPr="005D3049" w:rsidRDefault="006F0A07" w:rsidP="00694B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1, 2 </w:t>
            </w:r>
          </w:p>
        </w:tc>
      </w:tr>
      <w:tr w:rsidR="006F0A07" w:rsidTr="00694B80">
        <w:tc>
          <w:tcPr>
            <w:tcW w:w="3227" w:type="dxa"/>
          </w:tcPr>
          <w:p w:rsidR="006F0A07" w:rsidRDefault="006F0A07" w:rsidP="00694B80">
            <w:pPr>
              <w:suppressAutoHyphens/>
              <w:spacing w:after="0" w:line="240" w:lineRule="auto"/>
              <w:jc w:val="both"/>
              <w:rPr>
                <w:rFonts w:ascii="Times New Roman" w:eastAsia="Calibri" w:hAnsi="Times New Roman" w:cs="Times New Roman"/>
                <w:b/>
                <w:sz w:val="28"/>
                <w:szCs w:val="28"/>
                <w:lang w:val="en-US"/>
              </w:rPr>
            </w:pPr>
            <w:r>
              <w:rPr>
                <w:rFonts w:ascii="Times New Roman" w:hAnsi="Times New Roman"/>
                <w:b/>
                <w:sz w:val="28"/>
                <w:szCs w:val="28"/>
                <w:lang w:val="en-US"/>
              </w:rPr>
              <w:t>Number of in-class academic hours:</w:t>
            </w:r>
          </w:p>
        </w:tc>
        <w:tc>
          <w:tcPr>
            <w:tcW w:w="6344" w:type="dxa"/>
          </w:tcPr>
          <w:p w:rsidR="006F0A07" w:rsidRPr="00773AC6" w:rsidRDefault="006F0A07" w:rsidP="00694B80">
            <w:pPr>
              <w:spacing w:after="0" w:line="240" w:lineRule="auto"/>
              <w:rPr>
                <w:rFonts w:ascii="Times New Roman" w:hAnsi="Times New Roman" w:cs="Times New Roman"/>
                <w:sz w:val="28"/>
                <w:szCs w:val="28"/>
              </w:rPr>
            </w:pPr>
            <w:r>
              <w:rPr>
                <w:rFonts w:ascii="Times New Roman" w:hAnsi="Times New Roman" w:cs="Times New Roman"/>
                <w:sz w:val="28"/>
                <w:szCs w:val="28"/>
              </w:rPr>
              <w:t>124</w:t>
            </w:r>
          </w:p>
        </w:tc>
      </w:tr>
      <w:tr w:rsidR="006F0A07" w:rsidTr="00694B80">
        <w:tc>
          <w:tcPr>
            <w:tcW w:w="3227" w:type="dxa"/>
            <w:vMerge w:val="restart"/>
          </w:tcPr>
          <w:p w:rsidR="006F0A07" w:rsidRDefault="006F0A07" w:rsidP="00694B80">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Lectures</w:t>
            </w:r>
          </w:p>
          <w:p w:rsidR="006F0A07" w:rsidRDefault="006F0A07" w:rsidP="00694B80">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6F0A07" w:rsidRDefault="006F0A07" w:rsidP="00694B80">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6F0A07" w:rsidRDefault="006F0A07" w:rsidP="00694B80">
            <w:pPr>
              <w:suppressAutoHyphens/>
              <w:spacing w:after="0" w:line="240" w:lineRule="auto"/>
              <w:jc w:val="both"/>
              <w:rPr>
                <w:rFonts w:ascii="Times New Roman" w:eastAsia="Calibri" w:hAnsi="Times New Roman" w:cs="Times New Roman"/>
                <w:b/>
                <w:sz w:val="28"/>
                <w:szCs w:val="28"/>
                <w:lang w:val="en-US"/>
              </w:rPr>
            </w:pPr>
            <w:r>
              <w:rPr>
                <w:rFonts w:ascii="Times New Roman" w:hAnsi="Times New Roman"/>
                <w:b/>
                <w:sz w:val="28"/>
                <w:szCs w:val="28"/>
                <w:lang w:val="en-US"/>
              </w:rPr>
              <w:t>Laboratory classes</w:t>
            </w:r>
          </w:p>
        </w:tc>
        <w:tc>
          <w:tcPr>
            <w:tcW w:w="6344" w:type="dxa"/>
          </w:tcPr>
          <w:p w:rsidR="006F0A07" w:rsidRPr="005D3049" w:rsidRDefault="006F0A07" w:rsidP="00694B80">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6F0A07" w:rsidTr="00811EE1">
        <w:tc>
          <w:tcPr>
            <w:tcW w:w="3227" w:type="dxa"/>
            <w:vMerge/>
            <w:vAlign w:val="center"/>
          </w:tcPr>
          <w:p w:rsidR="006F0A07" w:rsidRDefault="006F0A07" w:rsidP="00694B80">
            <w:pPr>
              <w:spacing w:after="0" w:line="240" w:lineRule="auto"/>
              <w:rPr>
                <w:rFonts w:ascii="Times New Roman" w:hAnsi="Times New Roman" w:cs="Times New Roman"/>
                <w:b/>
                <w:sz w:val="28"/>
                <w:szCs w:val="28"/>
              </w:rPr>
            </w:pPr>
          </w:p>
        </w:tc>
        <w:tc>
          <w:tcPr>
            <w:tcW w:w="6344" w:type="dxa"/>
          </w:tcPr>
          <w:p w:rsidR="006F0A07" w:rsidRPr="005D3049" w:rsidRDefault="006F0A07" w:rsidP="00694B80">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6F0A07" w:rsidTr="00811EE1">
        <w:tc>
          <w:tcPr>
            <w:tcW w:w="3227" w:type="dxa"/>
            <w:vMerge/>
            <w:vAlign w:val="center"/>
          </w:tcPr>
          <w:p w:rsidR="006F0A07" w:rsidRDefault="006F0A07" w:rsidP="00694B80">
            <w:pPr>
              <w:spacing w:after="0" w:line="240" w:lineRule="auto"/>
              <w:rPr>
                <w:rFonts w:ascii="Times New Roman" w:hAnsi="Times New Roman" w:cs="Times New Roman"/>
                <w:b/>
                <w:sz w:val="28"/>
                <w:szCs w:val="28"/>
              </w:rPr>
            </w:pPr>
          </w:p>
        </w:tc>
        <w:tc>
          <w:tcPr>
            <w:tcW w:w="6344" w:type="dxa"/>
          </w:tcPr>
          <w:p w:rsidR="006F0A07" w:rsidRPr="005D3049" w:rsidRDefault="006F0A07" w:rsidP="00694B80">
            <w:pPr>
              <w:spacing w:after="0" w:line="240" w:lineRule="auto"/>
              <w:rPr>
                <w:rFonts w:ascii="Times New Roman" w:hAnsi="Times New Roman" w:cs="Times New Roman"/>
                <w:sz w:val="28"/>
                <w:szCs w:val="28"/>
              </w:rPr>
            </w:pPr>
            <w:r>
              <w:rPr>
                <w:rFonts w:ascii="Times New Roman" w:hAnsi="Times New Roman" w:cs="Times New Roman"/>
                <w:sz w:val="28"/>
                <w:szCs w:val="28"/>
              </w:rPr>
              <w:t>124</w:t>
            </w:r>
          </w:p>
        </w:tc>
      </w:tr>
      <w:tr w:rsidR="006F0A07" w:rsidTr="00811EE1">
        <w:tc>
          <w:tcPr>
            <w:tcW w:w="3227" w:type="dxa"/>
            <w:vMerge/>
            <w:vAlign w:val="center"/>
          </w:tcPr>
          <w:p w:rsidR="006F0A07" w:rsidRDefault="006F0A07" w:rsidP="00694B80">
            <w:pPr>
              <w:spacing w:after="0" w:line="240" w:lineRule="auto"/>
              <w:rPr>
                <w:rFonts w:ascii="Times New Roman" w:hAnsi="Times New Roman" w:cs="Times New Roman"/>
                <w:b/>
                <w:sz w:val="28"/>
                <w:szCs w:val="28"/>
              </w:rPr>
            </w:pPr>
          </w:p>
        </w:tc>
        <w:tc>
          <w:tcPr>
            <w:tcW w:w="6344" w:type="dxa"/>
          </w:tcPr>
          <w:p w:rsidR="006F0A07" w:rsidRPr="005D3049" w:rsidRDefault="006F0A07" w:rsidP="00694B80">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6F0A07" w:rsidTr="00694B80">
        <w:tc>
          <w:tcPr>
            <w:tcW w:w="3227" w:type="dxa"/>
          </w:tcPr>
          <w:p w:rsidR="006F0A07" w:rsidRDefault="006F0A07" w:rsidP="00694B80">
            <w:pPr>
              <w:suppressAutoHyphens/>
              <w:spacing w:after="0" w:line="240" w:lineRule="auto"/>
              <w:jc w:val="both"/>
              <w:rPr>
                <w:rFonts w:ascii="Times New Roman" w:eastAsia="Calibri"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4" w:type="dxa"/>
          </w:tcPr>
          <w:p w:rsidR="006F0A07" w:rsidRPr="005D3049" w:rsidRDefault="00764AEC" w:rsidP="00694B80">
            <w:pPr>
              <w:spacing w:after="0" w:line="240" w:lineRule="auto"/>
              <w:rPr>
                <w:rFonts w:ascii="Times New Roman" w:hAnsi="Times New Roman" w:cs="Times New Roman"/>
                <w:sz w:val="28"/>
                <w:szCs w:val="28"/>
              </w:rPr>
            </w:pPr>
            <w:bookmarkStart w:id="0" w:name="_GoBack"/>
            <w:bookmarkEnd w:id="0"/>
            <w:proofErr w:type="spellStart"/>
            <w:r w:rsidRPr="00764AEC">
              <w:rPr>
                <w:rFonts w:ascii="Times New Roman" w:hAnsi="Times New Roman" w:cs="Times New Roman"/>
                <w:sz w:val="28"/>
                <w:szCs w:val="28"/>
              </w:rPr>
              <w:t>credit</w:t>
            </w:r>
            <w:proofErr w:type="spellEnd"/>
            <w:r w:rsidRPr="00764AEC">
              <w:rPr>
                <w:rFonts w:ascii="Times New Roman" w:hAnsi="Times New Roman" w:cs="Times New Roman"/>
                <w:sz w:val="28"/>
                <w:szCs w:val="28"/>
              </w:rPr>
              <w:t xml:space="preserve"> / </w:t>
            </w:r>
            <w:proofErr w:type="spellStart"/>
            <w:r w:rsidRPr="00764AEC">
              <w:rPr>
                <w:rFonts w:ascii="Times New Roman" w:hAnsi="Times New Roman" w:cs="Times New Roman"/>
                <w:sz w:val="28"/>
                <w:szCs w:val="28"/>
              </w:rPr>
              <w:t>exam</w:t>
            </w:r>
            <w:proofErr w:type="spellEnd"/>
          </w:p>
        </w:tc>
      </w:tr>
      <w:tr w:rsidR="006F0A07" w:rsidTr="00694B80">
        <w:tc>
          <w:tcPr>
            <w:tcW w:w="3227" w:type="dxa"/>
          </w:tcPr>
          <w:p w:rsidR="006F0A07" w:rsidRDefault="006F0A07" w:rsidP="00694B80">
            <w:pPr>
              <w:suppressAutoHyphens/>
              <w:spacing w:after="0" w:line="240" w:lineRule="auto"/>
              <w:jc w:val="both"/>
              <w:rPr>
                <w:rFonts w:ascii="Times New Roman" w:eastAsia="Calibri" w:hAnsi="Times New Roman" w:cs="Times New Roman"/>
                <w:b/>
                <w:sz w:val="28"/>
                <w:szCs w:val="28"/>
                <w:lang w:val="en-US"/>
              </w:rPr>
            </w:pPr>
            <w:r>
              <w:rPr>
                <w:rFonts w:ascii="Times New Roman" w:hAnsi="Times New Roman"/>
                <w:b/>
                <w:sz w:val="28"/>
                <w:szCs w:val="28"/>
                <w:lang w:val="en-US"/>
              </w:rPr>
              <w:t>Number of credit points</w:t>
            </w:r>
          </w:p>
        </w:tc>
        <w:tc>
          <w:tcPr>
            <w:tcW w:w="6344" w:type="dxa"/>
          </w:tcPr>
          <w:p w:rsidR="006F0A07" w:rsidRPr="00A55A7D" w:rsidRDefault="006F0A07" w:rsidP="00694B80">
            <w:pPr>
              <w:spacing w:after="0" w:line="240" w:lineRule="auto"/>
              <w:rPr>
                <w:rFonts w:ascii="Times New Roman" w:hAnsi="Times New Roman" w:cs="Times New Roman"/>
                <w:sz w:val="28"/>
                <w:szCs w:val="28"/>
              </w:rPr>
            </w:pPr>
            <w:r>
              <w:rPr>
                <w:rFonts w:ascii="Times New Roman" w:hAnsi="Times New Roman" w:cs="Times New Roman"/>
                <w:sz w:val="28"/>
                <w:szCs w:val="28"/>
              </w:rPr>
              <w:t>6</w:t>
            </w:r>
          </w:p>
          <w:p w:rsidR="006F0A07" w:rsidRPr="00A55A7D" w:rsidRDefault="006F0A07" w:rsidP="00694B80">
            <w:pPr>
              <w:spacing w:after="0" w:line="240" w:lineRule="auto"/>
              <w:rPr>
                <w:rFonts w:ascii="Times New Roman" w:hAnsi="Times New Roman" w:cs="Times New Roman"/>
                <w:sz w:val="28"/>
                <w:szCs w:val="28"/>
              </w:rPr>
            </w:pPr>
          </w:p>
        </w:tc>
      </w:tr>
      <w:tr w:rsidR="006F0A07" w:rsidRPr="00764AEC" w:rsidTr="00694B80">
        <w:tc>
          <w:tcPr>
            <w:tcW w:w="3227" w:type="dxa"/>
          </w:tcPr>
          <w:p w:rsidR="006F0A07" w:rsidRDefault="006F0A07" w:rsidP="00694B80">
            <w:pPr>
              <w:suppressAutoHyphens/>
              <w:spacing w:after="0" w:line="240" w:lineRule="auto"/>
              <w:jc w:val="both"/>
              <w:rPr>
                <w:rFonts w:ascii="Times New Roman" w:eastAsia="Calibri" w:hAnsi="Times New Roman" w:cs="Times New Roman"/>
                <w:b/>
                <w:sz w:val="28"/>
                <w:szCs w:val="28"/>
                <w:lang w:val="en-US"/>
              </w:rPr>
            </w:pPr>
            <w:r>
              <w:rPr>
                <w:rFonts w:ascii="Times New Roman" w:hAnsi="Times New Roman"/>
                <w:b/>
                <w:sz w:val="28"/>
                <w:szCs w:val="28"/>
                <w:lang w:val="en-US"/>
              </w:rPr>
              <w:t>Competences</w:t>
            </w:r>
          </w:p>
        </w:tc>
        <w:tc>
          <w:tcPr>
            <w:tcW w:w="6344" w:type="dxa"/>
          </w:tcPr>
          <w:p w:rsidR="006F0A07" w:rsidRPr="006F0A07" w:rsidRDefault="006F0A07" w:rsidP="00694B80">
            <w:pPr>
              <w:shd w:val="clear" w:color="auto" w:fill="FFFFFF"/>
              <w:spacing w:after="0" w:line="240" w:lineRule="auto"/>
              <w:jc w:val="both"/>
              <w:rPr>
                <w:rFonts w:ascii="Times New Roman" w:hAnsi="Times New Roman" w:cs="Times New Roman"/>
                <w:color w:val="000000"/>
                <w:sz w:val="28"/>
                <w:szCs w:val="28"/>
                <w:lang w:val="en-US"/>
              </w:rPr>
            </w:pPr>
            <w:r w:rsidRPr="006F0A07">
              <w:rPr>
                <w:rFonts w:ascii="Times New Roman" w:hAnsi="Times New Roman" w:cs="Times New Roman"/>
                <w:color w:val="000000"/>
                <w:sz w:val="28"/>
                <w:szCs w:val="28"/>
                <w:lang w:val="en-US"/>
              </w:rPr>
              <w:t>Carry out communications in a foreign language to solve problems of interpersonal, intercultural and professional interaction.</w:t>
            </w:r>
          </w:p>
        </w:tc>
      </w:tr>
      <w:tr w:rsidR="006F0A07" w:rsidRPr="00764AEC" w:rsidTr="00694B80">
        <w:tc>
          <w:tcPr>
            <w:tcW w:w="9571" w:type="dxa"/>
            <w:gridSpan w:val="2"/>
          </w:tcPr>
          <w:p w:rsidR="006F0A07" w:rsidRPr="006F0A07" w:rsidRDefault="006F0A07" w:rsidP="006F0A07">
            <w:pPr>
              <w:shd w:val="clear" w:color="auto" w:fill="FFFFFF"/>
              <w:spacing w:after="0" w:line="240" w:lineRule="auto"/>
              <w:ind w:firstLine="703"/>
              <w:jc w:val="center"/>
              <w:outlineLvl w:val="0"/>
              <w:rPr>
                <w:rFonts w:ascii="Times New Roman" w:hAnsi="Times New Roman" w:cs="Times New Roman"/>
                <w:b/>
                <w:color w:val="000000"/>
                <w:sz w:val="28"/>
                <w:szCs w:val="28"/>
                <w:lang w:val="en-US"/>
              </w:rPr>
            </w:pPr>
            <w:r w:rsidRPr="006F0A07">
              <w:rPr>
                <w:rFonts w:ascii="Times New Roman" w:hAnsi="Times New Roman" w:cs="Times New Roman"/>
                <w:b/>
                <w:color w:val="000000"/>
                <w:sz w:val="28"/>
                <w:szCs w:val="28"/>
                <w:lang w:val="en-US"/>
              </w:rPr>
              <w:t>Summary of the academic discipline:</w:t>
            </w:r>
          </w:p>
          <w:p w:rsidR="006F0A07" w:rsidRPr="006F0A07" w:rsidRDefault="006F0A07" w:rsidP="006F0A07">
            <w:pPr>
              <w:shd w:val="clear" w:color="auto" w:fill="FFFFFF"/>
              <w:spacing w:after="0" w:line="240" w:lineRule="auto"/>
              <w:ind w:firstLine="703"/>
              <w:jc w:val="both"/>
              <w:outlineLvl w:val="0"/>
              <w:rPr>
                <w:rFonts w:ascii="Times New Roman" w:hAnsi="Times New Roman" w:cs="Times New Roman"/>
                <w:color w:val="000000"/>
                <w:sz w:val="28"/>
                <w:szCs w:val="28"/>
                <w:lang w:val="en-US"/>
              </w:rPr>
            </w:pPr>
            <w:r w:rsidRPr="006F0A07">
              <w:rPr>
                <w:rFonts w:ascii="Times New Roman" w:hAnsi="Times New Roman" w:cs="Times New Roman"/>
                <w:color w:val="000000"/>
                <w:sz w:val="28"/>
                <w:szCs w:val="28"/>
                <w:lang w:val="en-US"/>
              </w:rPr>
              <w:t>The structure of the training course "Foreign language" consists of two consecutive modules. The first is the module of social communication, which allows students to deepen and systematize their grammatical, lexical, communicative skills, and to use the communicative models according to various everyday situations. The second part of the training course - the module of professional communication - reviews professional communication situations specialized vocabulary, as well as the specifics of specialized vocabulary application, provides the necessary skills for abstracting thematic texts.</w:t>
            </w:r>
          </w:p>
        </w:tc>
      </w:tr>
    </w:tbl>
    <w:p w:rsidR="006F0A07" w:rsidRPr="006F0A07" w:rsidRDefault="006F0A07" w:rsidP="006F0A07">
      <w:pPr>
        <w:rPr>
          <w:lang w:val="en-US"/>
        </w:rPr>
      </w:pPr>
    </w:p>
    <w:p w:rsidR="006F0A07" w:rsidRPr="006F0A07" w:rsidRDefault="006F0A07">
      <w:pPr>
        <w:rPr>
          <w:lang w:val="en-US"/>
        </w:rPr>
      </w:pPr>
    </w:p>
    <w:p w:rsidR="006F0A07" w:rsidRPr="006F0A07" w:rsidRDefault="006F0A07">
      <w:pPr>
        <w:rPr>
          <w:lang w:val="en-US"/>
        </w:rPr>
      </w:pPr>
    </w:p>
    <w:sectPr w:rsidR="006F0A07" w:rsidRPr="006F0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F9"/>
    <w:rsid w:val="006672E5"/>
    <w:rsid w:val="00690835"/>
    <w:rsid w:val="00697771"/>
    <w:rsid w:val="006F0A07"/>
    <w:rsid w:val="00764AEC"/>
    <w:rsid w:val="00904DD7"/>
    <w:rsid w:val="0095714A"/>
    <w:rsid w:val="00A042F9"/>
    <w:rsid w:val="00F34AED"/>
    <w:rsid w:val="00FA0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D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F0A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D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F0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dcterms:created xsi:type="dcterms:W3CDTF">2025-07-23T08:39:00Z</dcterms:created>
  <dcterms:modified xsi:type="dcterms:W3CDTF">2025-07-23T08:46:00Z</dcterms:modified>
</cp:coreProperties>
</file>